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Barrio-regular.ttf" ContentType="application/x-font-ttf"/>
  <Override PartName="/word/fonts/Itim-regular.ttf" ContentType="application/x-font-ttf"/>
  <Override PartName="/word/fonts/WalterTurncoat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Barrio" w:cs="Barrio" w:eastAsia="Barrio" w:hAnsi="Barrio"/>
          <w:sz w:val="44"/>
          <w:szCs w:val="44"/>
        </w:rPr>
      </w:pPr>
      <w:r w:rsidDel="00000000" w:rsidR="00000000" w:rsidRPr="00000000">
        <w:rPr>
          <w:rFonts w:ascii="Barrio" w:cs="Barrio" w:eastAsia="Barrio" w:hAnsi="Barrio"/>
          <w:color w:val="40b56d"/>
          <w:sz w:val="44"/>
          <w:szCs w:val="44"/>
          <w:rtl w:val="0"/>
        </w:rPr>
        <w:t>WIELKIE WYZWANIE THEATRE GREEN BOOK</w:t>
      </w:r>
      <w:r w:rsidDel="00000000" w:rsidR="00000000" w:rsidRPr="00000000">
        <w:rPr>
          <w:rFonts w:ascii="Barrio" w:cs="Barrio" w:eastAsia="Barrio" w:hAnsi="Barrio"/>
          <w:sz w:val="44"/>
          <w:szCs w:val="44"/>
          <w:rtl w:val="0"/>
        </w:rPr>
        <w:t xml:space="preserve"> – SCENOGRAFIA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>Interaktywny warsztat szkoleniowy dotyczący zrównoważonej praktyki teatralnej</w:t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Produkcja</w:t>
      </w:r>
      <w:r w:rsidDel="00000000" w:rsidR="00000000" w:rsidRPr="00000000">
        <w:rPr>
          <w:rFonts w:ascii="Itim" w:cs="Itim" w:eastAsia="Itim" w:hAnsi="Itim"/>
          <w:rtl w:val="0"/>
        </w:rPr>
        <w:t>: surowa, współczesna inscenizacja „Romea i Julii” Williama Szekspira</w:t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Wspólny cel: Osiągnięcie podstawowego standardu audytu ETC Theatre Green Book (50% zrównoważonego pozyskiwania / 65% dalszego wykorzystania) dla całej produkcji.</w:t>
      </w:r>
      <w:r w:rsidDel="00000000" w:rsidR="00000000" w:rsidRPr="00000000">
        <w:rPr>
          <w:rFonts w:ascii="Itim" w:cs="Itim" w:eastAsia="Itim" w:hAnsi="Itim"/>
          <w:rtl w:val="0"/>
        </w:rPr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</w:r>
      <w:r w:rsidDel="00000000" w:rsidR="00000000" w:rsidRPr="00000000">
        <w:rPr>
          <w:rFonts w:ascii="Itim" w:cs="Itim" w:eastAsia="Itim" w:hAnsi="Itim"/>
          <w:rtl w:val="0"/>
        </w:rPr>
      </w:r>
      <w:r w:rsidDel="00000000" w:rsidR="00000000" w:rsidRPr="00000000">
        <w:rPr>
          <w:rFonts w:ascii="Itim" w:cs="Itim" w:eastAsia="Itim" w:hAnsi="Itim"/>
          <w:color w:val="40b56d"/>
          <w:rtl w:val="0"/>
        </w:rPr>
      </w:r>
      <w:r w:rsidDel="00000000" w:rsidR="00000000" w:rsidRPr="00000000">
        <w:rPr>
          <w:rFonts w:ascii="Itim" w:cs="Itim" w:eastAsia="Itim" w:hAnsi="Itim"/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UWAGA. Zielony Lider (Green Champion): wybrany koordynator produkcji</w:t>
      </w:r>
      <w:r w:rsidDel="00000000" w:rsidR="00000000" w:rsidRPr="00000000">
        <w:rPr>
          <w:rFonts w:ascii="Itim" w:cs="Itim" w:eastAsia="Itim" w:hAnsi="Itim"/>
          <w:rtl w:val="0"/>
        </w:rPr>
      </w:r>
      <w:r w:rsidDel="00000000" w:rsidR="00000000" w:rsidRPr="00000000">
        <w:rPr>
          <w:rFonts w:ascii="Itim" w:cs="Itim" w:eastAsia="Itim" w:hAnsi="Itim"/>
          <w:color w:val="40b56d"/>
          <w:rtl w:val="0"/>
        </w:rPr>
      </w:r>
      <w:r w:rsidDel="00000000" w:rsidR="00000000" w:rsidRPr="00000000">
        <w:rPr>
          <w:rFonts w:ascii="Itim" w:cs="Itim" w:eastAsia="Itim" w:hAnsi="Itim"/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Barrio" w:cs="Barrio" w:eastAsia="Barrio" w:hAnsi="Barrio"/>
          <w:sz w:val="30"/>
          <w:szCs w:val="30"/>
        </w:rPr>
      </w:pPr>
      <w:r w:rsidDel="00000000" w:rsidR="00000000" w:rsidRPr="00000000">
        <w:rPr>
          <w:rFonts w:ascii="Barrio" w:cs="Barrio" w:eastAsia="Barrio" w:hAnsi="Barrio"/>
          <w:sz w:val="30"/>
          <w:szCs w:val="30"/>
          <w:rtl w:val="0"/>
        </w:rPr>
        <w:t>OPIS ZADANIA (BRIEF) I WYZWANIE</w:t>
      </w:r>
    </w:p>
    <w:p w:rsidR="00000000" w:rsidDel="00000000" w:rsidP="00000000" w:rsidRDefault="00000000" w:rsidRPr="00000000" w14:paraId="00000008">
      <w:pPr>
        <w:spacing w:line="240" w:lineRule="auto"/>
        <w:ind w:firstLine="720"/>
        <w:jc w:val="both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>Sytuacja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Itim" w:cs="Itim" w:eastAsia="Itim" w:hAnsi="Itim"/>
          <w:b w:val="1"/>
          <w:bCs w:val="1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Witajcie w zespole produkcyjnym. Oficjalnie rozpoczynacie etap przedprodukcyjny naszej inscenizacji „Romea i Julii”. Miejsce prezentacji i instytucje finansujące wymagają, aby produkcja spełniła podstawowy standard audytu ETC Theatre Green Book. Oznacza to, że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50% wszystkiego, co znajdzie się na scenie, musi pochodzić ze zrównoważonych źródeł, a 65% elementów po ostatnim spektaklu musi trafić do potwierdzonego dalszego wykorzystania (Next Life). </w:t>
      </w:r>
    </w:p>
    <w:p w:rsidR="00000000" w:rsidDel="00000000" w:rsidP="00000000" w:rsidRDefault="00000000" w:rsidRPr="00000000" w14:paraId="0000000A">
      <w:pPr>
        <w:spacing w:line="240" w:lineRule="auto"/>
        <w:ind w:firstLine="720"/>
        <w:jc w:val="both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>Misja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Dzielicie się na zespoły działowe: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Zespół</w:t>
      </w:r>
      <w:r w:rsidDel="00000000" w:rsidR="00000000" w:rsidRPr="00000000">
        <w:rPr>
          <w:rFonts w:ascii="Itim" w:cs="Itim" w:eastAsia="Itim" w:hAnsi="Itim"/>
          <w:rtl w:val="0"/>
        </w:rPr>
        <w:t xml:space="preserve">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Scenografii</w:t>
      </w:r>
      <w:r w:rsidDel="00000000" w:rsidR="00000000" w:rsidRPr="00000000">
        <w:rPr>
          <w:rFonts w:ascii="Itim" w:cs="Itim" w:eastAsia="Itim" w:hAnsi="Itim"/>
          <w:rtl w:val="0"/>
        </w:rPr>
        <w:t xml:space="preserve">,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Zespół</w:t>
      </w:r>
      <w:r w:rsidDel="00000000" w:rsidR="00000000" w:rsidRPr="00000000">
        <w:rPr>
          <w:rFonts w:ascii="Itim" w:cs="Itim" w:eastAsia="Itim" w:hAnsi="Itim"/>
          <w:rtl w:val="0"/>
        </w:rPr>
        <w:t xml:space="preserve">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Kostiumów</w:t>
      </w:r>
      <w:r w:rsidDel="00000000" w:rsidR="00000000" w:rsidRPr="00000000">
        <w:rPr>
          <w:rFonts w:ascii="Itim" w:cs="Itim" w:eastAsia="Itim" w:hAnsi="Itim"/>
          <w:rtl w:val="0"/>
        </w:rPr>
        <w:t xml:space="preserve"> i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Zespół</w:t>
      </w:r>
      <w:r w:rsidDel="00000000" w:rsidR="00000000" w:rsidRPr="00000000">
        <w:rPr>
          <w:rFonts w:ascii="Itim" w:cs="Itim" w:eastAsia="Itim" w:hAnsi="Itim"/>
          <w:rtl w:val="0"/>
        </w:rPr>
        <w:t xml:space="preserve">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Rekwizytów</w:t>
      </w:r>
      <w:r w:rsidDel="00000000" w:rsidR="00000000" w:rsidRPr="00000000">
        <w:rPr>
          <w:rFonts w:ascii="Itim" w:cs="Itim" w:eastAsia="Itim" w:hAnsi="Itim"/>
          <w:rtl w:val="0"/>
        </w:rPr>
        <w:t xml:space="preserve">. Musicie połączyć wizję artystyczną z zasadami gospodarki cyrkularnej. Jako jeden zespół produkcyjny wspólnie osiągacie sukces albo wspólnie nie spełniacie celu. 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>Waszym zadaniem jest przejście przez trzy chronologiczne etapy cyklu życia produkcji: szacunek (Estimate), audyt w trakcie (In Progress Audit) i audyt końcowy (Final Audit), aby stopniowo poprawić wynik środowiskowy produkcji.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>AUDYTY: </w:t>
      </w:r>
      <w:hyperlink r:id="rId7">
        <w:r w:rsidDel="00000000" w:rsidR="00000000" w:rsidRPr="00000000">
          <w:rPr>
            <w:rFonts w:ascii="Itim" w:cs="Itim" w:eastAsia="Itim" w:hAnsi="Itim"/>
            <w:color w:val="0000ee"/>
            <w:u w:val="single"/>
            <w:rtl w:val="0"/>
          </w:rPr>
          <w:t xml:space="preserve">CIRCLE-T MODUŁ 2 – Kalkulator produkcji, wersja wstępnie wypełniona.xlsx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647700</wp:posOffset>
                </wp:positionH>
                <wp:positionV relativeFrom="paragraph">
                  <wp:posOffset>313055</wp:posOffset>
                </wp:positionV>
                <wp:extent cx="1951096" cy="1260540"/>
                <wp:effectExtent b="0" l="0" r="0" t="0"/>
                <wp:wrapNone/>
                <wp:docPr id="83846695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flipH="1" rot="10800000">
                          <a:off x="4839539" y="1361884"/>
                          <a:ext cx="1677600" cy="1076400"/>
                        </a:xfrm>
                        <a:prstGeom prst="bentArrow">
                          <a:avLst>
                            <a:gd fmla="val 25000" name="adj1"/>
                            <a:gd fmla="val 25000" name="adj2"/>
                            <a:gd fmla="val 25000" name="adj3"/>
                            <a:gd fmla="val 43750" name="adj4"/>
                          </a:avLst>
                        </a:prstGeom>
                        <a:solidFill>
                          <a:srgbClr val="40B56D"/>
                        </a:solidFill>
                        <a:ln cap="flat" cmpd="sng" w="9525">
                          <a:solidFill>
                            <a:srgbClr val="F5C02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647700</wp:posOffset>
                </wp:positionH>
                <wp:positionV relativeFrom="paragraph">
                  <wp:posOffset>313055</wp:posOffset>
                </wp:positionV>
                <wp:extent cx="1951096" cy="1260540"/>
                <wp:effectExtent b="0" l="0" r="0" t="0"/>
                <wp:wrapNone/>
                <wp:docPr id="83846695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51096" cy="12605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2905125</wp:posOffset>
            </wp:positionH>
            <wp:positionV relativeFrom="paragraph">
              <wp:posOffset>152400</wp:posOffset>
            </wp:positionV>
            <wp:extent cx="1681163" cy="1681163"/>
            <wp:effectExtent b="0" l="0" r="0" t="0"/>
            <wp:wrapSquare wrapText="bothSides" distB="114300" distT="114300" distL="114300" distR="114300"/>
            <wp:docPr id="83846695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81163" cy="16811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0">
      <w:pPr>
        <w:spacing w:line="240" w:lineRule="auto"/>
        <w:jc w:val="center"/>
        <w:rPr>
          <w:rFonts w:ascii="Barrio" w:cs="Barrio" w:eastAsia="Barrio" w:hAnsi="Barrio"/>
          <w:sz w:val="30"/>
          <w:szCs w:val="30"/>
        </w:rPr>
      </w:pPr>
      <w:r w:rsidDel="00000000" w:rsidR="00000000" w:rsidRPr="00000000">
        <w:rPr>
          <w:rFonts w:ascii="Barrio" w:cs="Barrio" w:eastAsia="Barrio" w:hAnsi="Barrio"/>
          <w:sz w:val="30"/>
          <w:szCs w:val="30"/>
          <w:rtl w:val="0"/>
        </w:rPr>
        <w:t>ZESPÓŁ 1 – SCENOGRAFIA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>Opis ➔ Pozyskanie ➔ Dalsze wykorzystanie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Itim" w:cs="Itim" w:eastAsia="Itim" w:hAnsi="Itim"/>
        </w:rPr>
      </w:pPr>
      <w:hyperlink r:id="rId10">
        <w:r w:rsidDel="00000000" w:rsidR="00000000" w:rsidRPr="00000000">
          <w:rPr>
            <w:rFonts w:ascii="Itim" w:cs="Itim" w:eastAsia="Itim" w:hAnsi="Itim"/>
            <w:color w:val="1155cc"/>
            <w:u w:val="single"/>
            <w:rtl w:val="0"/>
          </w:rPr>
          <w:t xml:space="preserve">https://theatregreenbook.com/productionscalculator/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firstLine="720"/>
        <w:jc w:val="both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 xml:space="preserve">ETAP 1: PLANOWANIE PRZEDPRODUKCYJNE 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Itim" w:cs="Itim" w:eastAsia="Itim" w:hAnsi="Itim"/>
          <w:b w:val="1"/>
          <w:bCs w:val="1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(Zakładka: Scenografia (Scenery/Set))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Itim" w:cs="Itim" w:eastAsia="Itim" w:hAnsi="Itim"/>
          <w:b w:val="1"/>
          <w:bCs w:val="1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Uzupełnij opis elementu, sposób pozyskania i dalsze wykorzystanie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>Wiersz 1: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Element: Konstrukcyjne rusztowanie Werony 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Pozyskanie: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Standardowe (Standard)</w:t>
      </w:r>
      <w:r w:rsidDel="00000000" w:rsidR="00000000" w:rsidRPr="00000000">
        <w:rPr>
          <w:rFonts w:ascii="Itim" w:cs="Itim" w:eastAsia="Itim" w:hAnsi="Itim"/>
          <w:rtl w:val="0"/>
        </w:rPr>
        <w:t xml:space="preserve"> (nowa stal kupiona u komercyjnego dostawcy materiałów budowlanych) </w:t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Dalsze wykorzystanie: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Recykling (Recycled)</w:t>
      </w:r>
      <w:r w:rsidDel="00000000" w:rsidR="00000000" w:rsidRPr="00000000">
        <w:rPr>
          <w:rFonts w:ascii="Itim" w:cs="Itim" w:eastAsia="Itim" w:hAnsi="Itim"/>
          <w:rtl w:val="0"/>
        </w:rPr>
        <w:t xml:space="preserve"> (po demontażu sprzedaż jako złom ze względu na brak miejsca do magazynowania w teatrze) 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>Wiersz 2: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Element: Podest sceniczny </w:t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Pozyskanie: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Pierwotne/standardowe (Virgin/Standard)</w:t>
      </w:r>
      <w:r w:rsidDel="00000000" w:rsidR="00000000" w:rsidRPr="00000000">
        <w:rPr>
          <w:rFonts w:ascii="Itim" w:cs="Itim" w:eastAsia="Itim" w:hAnsi="Itim"/>
          <w:rtl w:val="0"/>
        </w:rPr>
        <w:t xml:space="preserve"> (standardowe arkusze sklejki bez certyfikatu) 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Dalsze wykorzystanie: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Składowisko odpadów (Landfill)</w:t>
      </w:r>
      <w:r w:rsidDel="00000000" w:rsidR="00000000" w:rsidRPr="00000000">
        <w:rPr>
          <w:rFonts w:ascii="Itim" w:cs="Itim" w:eastAsia="Itim" w:hAnsi="Itim"/>
          <w:rtl w:val="0"/>
        </w:rPr>
        <w:t xml:space="preserve"> (wyrzucenie do standardowego kontenera, ponieważ przemysłowa farba scenograficzna sprawia, że materiał nie nadaje się do ponownego użycia) </w:t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ind w:firstLine="720"/>
        <w:jc w:val="both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 xml:space="preserve">Sprawdź główny panel podsumowujący </w:t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>Zespoły kończą wprowadzanie danych swojego DZIAŁU</w:t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Sprawdź zakładkę „Panel podsumowujący” (Summary Dashboard). Kalkulator zbiera dane i wyświetla czerwony alert: 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>Zrównoważone pozyskiwanie %: (?%) (NIE SPEŁNIA podstawowego celu 50%)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>Dalsze wykorzystanie %: (?%) (NIE SPEŁNIA podstawowego celu 65%)</w:t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Itim" w:cs="Itim" w:eastAsia="Itim" w:hAnsi="Itim"/>
          <w:color w:val="40b56d"/>
        </w:rPr>
      </w:pPr>
      <w:r w:rsidDel="00000000" w:rsidR="00000000" w:rsidRPr="00000000">
        <w:rPr>
          <w:rFonts w:ascii="Itim" w:cs="Itim" w:eastAsia="Itim" w:hAnsi="Itim"/>
          <w:color w:val="40b56d"/>
          <w:rtl w:val="0"/>
        </w:rPr>
        <w:t>UWAGA – ZBIERZCIE SIĘ PONOWNIE jako większy zespół kreatywny CIRCLE-T</w:t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Pilne spotkanie informacyjne (briefing) Zielonego Lidera (Green Champion):</w:t>
      </w:r>
      <w:r w:rsidDel="00000000" w:rsidR="00000000" w:rsidRPr="00000000">
        <w:rPr>
          <w:rFonts w:ascii="Itim" w:cs="Itim" w:eastAsia="Itim" w:hAnsi="Itim"/>
          <w:rtl w:val="0"/>
        </w:rPr>
        <w:t xml:space="preserve"> „Zespół, kupujemy (%?) nowych, niecertyfikowanych materiałów komercyjnych, a ponad połowa elementów naszej produkcji po demontażu trafi prosto do kontenera na odpady. Musimy się zatrzymać, zanim wydamy choć jedno euro. Wróćmy teraz do odpowiednich zakładek i działów i znajdźmy zamienniki, które pozwolą zmienić ten panel z czerwonego na zielony.” </w:t>
      </w:r>
    </w:p>
    <w:p w:rsidR="00000000" w:rsidDel="00000000" w:rsidP="00000000" w:rsidRDefault="00000000" w:rsidRPr="00000000" w14:paraId="00000028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jc w:val="center"/>
        <w:rPr>
          <w:rFonts w:ascii="Barrio" w:cs="Barrio" w:eastAsia="Barrio" w:hAnsi="Barrio"/>
          <w:sz w:val="42"/>
          <w:szCs w:val="42"/>
        </w:rPr>
      </w:pPr>
      <w:r w:rsidDel="00000000" w:rsidR="00000000" w:rsidRPr="00000000">
        <w:rPr>
          <w:rFonts w:ascii="Barrio" w:cs="Barrio" w:eastAsia="Barrio" w:hAnsi="Barrio"/>
          <w:sz w:val="42"/>
          <w:szCs w:val="42"/>
          <w:rtl w:val="0"/>
        </w:rPr>
        <w:t>PRZEJDŹ DO ETAPU DRUGIEGO</w:t>
      </w:r>
    </w:p>
    <w:p w:rsidR="00000000" w:rsidDel="00000000" w:rsidP="00000000" w:rsidRDefault="00000000" w:rsidRPr="00000000" w14:paraId="0000002A">
      <w:pPr>
        <w:spacing w:line="240" w:lineRule="auto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ind w:firstLine="720"/>
        <w:jc w:val="both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 xml:space="preserve">ETAP 2: AKTUALIZACJA PRZEDPRODUKCYJNA </w:t>
      </w:r>
    </w:p>
    <w:p w:rsidR="00000000" w:rsidDel="00000000" w:rsidP="00000000" w:rsidRDefault="00000000" w:rsidRPr="00000000" w14:paraId="0000002C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Każdy dział musi teraz poprawić swoje wiersze, wykorzystując lepsze rozwiązania, takie jak wynajem, wypożyczanie i lokalne pozyskiwanie zasobów, aby podnieść wynik całej produkcji. </w:t>
      </w:r>
    </w:p>
    <w:p w:rsidR="00000000" w:rsidDel="00000000" w:rsidP="00000000" w:rsidRDefault="00000000" w:rsidRPr="00000000" w14:paraId="0000002D">
      <w:pPr>
        <w:spacing w:line="240" w:lineRule="auto"/>
        <w:jc w:val="both"/>
        <w:rPr>
          <w:rFonts w:ascii="Barrio" w:cs="Barrio" w:eastAsia="Barrio" w:hAnsi="Barrio"/>
        </w:rPr>
      </w:pPr>
      <w:r w:rsidDel="00000000" w:rsidR="00000000" w:rsidRPr="00000000">
        <w:rPr>
          <w:rFonts w:ascii="Barrio" w:cs="Barrio" w:eastAsia="Barrio" w:hAnsi="Barrio"/>
          <w:rtl w:val="0"/>
        </w:rPr>
        <w:t>ZESPÓŁ 1: ZMIANA PLANU – SCENOGRAFIA</w:t>
      </w:r>
    </w:p>
    <w:p w:rsidR="00000000" w:rsidDel="00000000" w:rsidP="00000000" w:rsidRDefault="00000000" w:rsidRPr="00000000" w14:paraId="0000002E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>Co możecie zrobić, aby poprawić wynik? Po co kupować nową stal? Czy można ją wynająć?</w:t>
      </w:r>
    </w:p>
    <w:p w:rsidR="00000000" w:rsidDel="00000000" w:rsidP="00000000" w:rsidRDefault="00000000" w:rsidRPr="00000000" w14:paraId="0000002F">
      <w:pPr>
        <w:spacing w:line="240" w:lineRule="auto"/>
        <w:ind w:left="720" w:firstLine="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u w:val="single"/>
          <w:rtl w:val="0"/>
        </w:rPr>
        <w:t>Możliwe działanie 1</w:t>
      </w:r>
      <w:r w:rsidDel="00000000" w:rsidR="00000000" w:rsidRPr="00000000">
        <w:rPr>
          <w:rFonts w:ascii="Itim" w:cs="Itim" w:eastAsia="Itim" w:hAnsi="Itim"/>
          <w:rtl w:val="0"/>
        </w:rPr>
        <w:t xml:space="preserve">: Zrezygnujcie z planu zakupu nowej stalowej konstrukcji. Znajdźcie lokalną firmę budowlaną lub dostawcę, od którego można wynająć rusztowanie. Zmieńcie odpowiednie wiersze na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Ponowne użycie (Reused)</w:t>
      </w:r>
      <w:r w:rsidDel="00000000" w:rsidR="00000000" w:rsidRPr="00000000">
        <w:rPr>
          <w:rFonts w:ascii="Itim" w:cs="Itim" w:eastAsia="Itim" w:hAnsi="Itim"/>
          <w:rtl w:val="0"/>
        </w:rPr>
        <w:t xml:space="preserve"> w polu Pozyskanie (Sourcing) oraz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Zwrot do wypożyczalni (Return to Hire)</w:t>
      </w:r>
      <w:r w:rsidDel="00000000" w:rsidR="00000000" w:rsidRPr="00000000">
        <w:rPr>
          <w:rFonts w:ascii="Itim" w:cs="Itim" w:eastAsia="Itim" w:hAnsi="Itim"/>
          <w:rtl w:val="0"/>
        </w:rPr>
        <w:t xml:space="preserve"> w polu Dalsze wykorzystanie (Next Life). </w:t>
      </w:r>
    </w:p>
    <w:p w:rsidR="00000000" w:rsidDel="00000000" w:rsidP="00000000" w:rsidRDefault="00000000" w:rsidRPr="00000000" w14:paraId="00000030">
      <w:pPr>
        <w:spacing w:line="240" w:lineRule="auto"/>
        <w:ind w:left="720" w:firstLine="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u w:val="single"/>
          <w:rtl w:val="0"/>
        </w:rPr>
        <w:t>Możliwe działanie 2</w:t>
      </w:r>
      <w:r w:rsidDel="00000000" w:rsidR="00000000" w:rsidRPr="00000000">
        <w:rPr>
          <w:rFonts w:ascii="Itim" w:cs="Itim" w:eastAsia="Itim" w:hAnsi="Itim"/>
          <w:rtl w:val="0"/>
        </w:rPr>
        <w:t xml:space="preserve">: Znajdźcie odbiorcę dla arkuszy sklejki. Skontaktujcie się z lokalnym ogrodem społecznym albo szkołą ponadpodstawową z pracownią stolarską i uzyskajcie potwierdzenie, że materiały zostaną odebrane po demontażu. Zmieńcie Dalsze wykorzystanie (Next Life) podestu z „Składowisko odpadów (Landfill)” na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Przekazanie/sprzedaż (Donated/Sold)</w:t>
      </w:r>
      <w:r w:rsidDel="00000000" w:rsidR="00000000" w:rsidRPr="00000000">
        <w:rPr>
          <w:rFonts w:ascii="Itim" w:cs="Itim" w:eastAsia="Itim" w:hAnsi="Itim"/>
          <w:rtl w:val="0"/>
        </w:rPr>
        <w:t xml:space="preserve">. </w:t>
      </w:r>
    </w:p>
    <w:p w:rsidR="00000000" w:rsidDel="00000000" w:rsidP="00000000" w:rsidRDefault="00000000" w:rsidRPr="00000000" w14:paraId="00000031">
      <w:pPr>
        <w:spacing w:line="240" w:lineRule="auto"/>
        <w:jc w:val="both"/>
        <w:rPr>
          <w:rFonts w:ascii="Itim" w:cs="Itim" w:eastAsia="Itim" w:hAnsi="Itim"/>
          <w:b w:val="1"/>
          <w:bCs w:val="1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ZAKTUALIZUJCIE WIERSZE zgodnie z nowymi założeniami. Czy wasz dział osiągnął wymagane progi zrównoważonego pozyskiwania i dalszego wykorzystania?</w:t>
      </w:r>
    </w:p>
    <w:p w:rsidR="00000000" w:rsidDel="00000000" w:rsidP="00000000" w:rsidRDefault="00000000" w:rsidRPr="00000000" w14:paraId="00000032">
      <w:pPr>
        <w:spacing w:line="240" w:lineRule="auto"/>
        <w:jc w:val="both"/>
        <w:rPr>
          <w:rFonts w:ascii="Itim" w:cs="Itim" w:eastAsia="Itim" w:hAnsi="Itim"/>
          <w:color w:val="40b56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jc w:val="both"/>
        <w:rPr>
          <w:rFonts w:ascii="Itim" w:cs="Itim" w:eastAsia="Itim" w:hAnsi="Itim"/>
          <w:color w:val="40b56d"/>
        </w:rPr>
      </w:pPr>
      <w:r w:rsidDel="00000000" w:rsidR="00000000" w:rsidRPr="00000000">
        <w:rPr>
          <w:rFonts w:ascii="Itim" w:cs="Itim" w:eastAsia="Itim" w:hAnsi="Itim"/>
          <w:color w:val="40b56d"/>
          <w:rtl w:val="0"/>
        </w:rPr>
        <w:t>UWAGA – ZBIERZCIE SIĘ PONOWNIE jako większy zespół kreatywny CIRCLE-T. Czy jako wspólny zespół osiągnęliście cele podstawowego poziomu Theatre Green Book?</w:t>
      </w:r>
    </w:p>
    <w:p w:rsidR="00000000" w:rsidDel="00000000" w:rsidP="00000000" w:rsidRDefault="00000000" w:rsidRPr="00000000" w14:paraId="00000034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ind w:left="720" w:firstLine="0"/>
        <w:jc w:val="both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>Ponowne sprawdzenie panelu audytu szacunkowego</w:t>
      </w:r>
    </w:p>
    <w:p w:rsidR="00000000" w:rsidDel="00000000" w:rsidP="00000000" w:rsidRDefault="00000000" w:rsidRPr="00000000" w14:paraId="00000036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Zielony Lider (Green Champion) sprawdza wspólny panel audytu poziomu podstawowego. Czy nowe automatyczne wyliczenia sprawiają, że wynik waszego działu i całej produkcji spełnia wymagane progi zrównoważonego rozwoju? </w:t>
      </w:r>
    </w:p>
    <w:p w:rsidR="00000000" w:rsidDel="00000000" w:rsidP="00000000" w:rsidRDefault="00000000" w:rsidRPr="00000000" w14:paraId="00000037">
      <w:pPr>
        <w:spacing w:line="240" w:lineRule="auto"/>
        <w:ind w:firstLine="72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>Nowy wynik zrównoważonego pozyskiwania: nowy % (SPEŁNIA podstawowy cel 50%)</w:t>
      </w:r>
    </w:p>
    <w:p w:rsidR="00000000" w:rsidDel="00000000" w:rsidP="00000000" w:rsidRDefault="00000000" w:rsidRPr="00000000" w14:paraId="00000038">
      <w:pPr>
        <w:spacing w:line="240" w:lineRule="auto"/>
        <w:ind w:firstLine="72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>Nowy wynik dalszego wykorzystania: nowy % (SPEŁNIA podstawowy cel 65%)</w:t>
      </w:r>
    </w:p>
    <w:p w:rsidR="00000000" w:rsidDel="00000000" w:rsidP="00000000" w:rsidRDefault="00000000" w:rsidRPr="00000000" w14:paraId="00000039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>Czy wartości procentowe zmieniły się we właściwym kierunku?</w:t>
      </w:r>
    </w:p>
    <w:p w:rsidR="00000000" w:rsidDel="00000000" w:rsidP="00000000" w:rsidRDefault="00000000" w:rsidRPr="00000000" w14:paraId="0000003A">
      <w:pPr>
        <w:spacing w:line="240" w:lineRule="auto"/>
        <w:jc w:val="both"/>
        <w:rPr>
          <w:rFonts w:ascii="Itim" w:cs="Itim" w:eastAsia="Itim" w:hAnsi="Itim"/>
          <w:b w:val="1"/>
          <w:bCs w:val="1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Czy jako wspólny zespół osiągnęliście cele podstawowego poziomu Theatre Green Book?</w:t>
      </w:r>
    </w:p>
    <w:p w:rsidR="00000000" w:rsidDel="00000000" w:rsidP="00000000" w:rsidRDefault="00000000" w:rsidRPr="00000000" w14:paraId="0000003B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i w:val="1"/>
          <w:iCs w:val="1"/>
          <w:rtl w:val="0"/>
        </w:rPr>
        <w:t>Jeśli tak, projekt oficjalnie otrzymuje zielone światło do realizacji!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Barrio" w:cs="Barrio" w:eastAsia="Barrio" w:hAnsi="Barrio"/>
          <w:sz w:val="42"/>
          <w:szCs w:val="42"/>
        </w:rPr>
      </w:pPr>
      <w:r w:rsidDel="00000000" w:rsidR="00000000" w:rsidRPr="00000000">
        <w:rPr>
          <w:rFonts w:ascii="Barrio" w:cs="Barrio" w:eastAsia="Barrio" w:hAnsi="Barrio"/>
          <w:sz w:val="42"/>
          <w:szCs w:val="42"/>
          <w:rtl w:val="0"/>
        </w:rPr>
        <w:t>PRZEJDŹ DO ETAPU TRZECIEGO</w:t>
      </w:r>
    </w:p>
    <w:p w:rsidR="00000000" w:rsidDel="00000000" w:rsidP="00000000" w:rsidRDefault="00000000" w:rsidRPr="00000000" w14:paraId="0000003E">
      <w:pPr>
        <w:spacing w:line="240" w:lineRule="auto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ind w:left="720" w:firstLine="0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>ETAP 3: PO PRODUKCJI (cykl życia ekoprojektu) / AUDYT KOŃCOWY – rozliczenie po demontażu</w:t>
      </w:r>
    </w:p>
    <w:p w:rsidR="00000000" w:rsidDel="00000000" w:rsidP="00000000" w:rsidRDefault="00000000" w:rsidRPr="00000000" w14:paraId="00000041">
      <w:pPr>
        <w:spacing w:line="240" w:lineRule="auto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>Produkcja zakończyła udany cykl prezentacji, demontaż jest już za nami i trzeba teraz zapisać rzeczywisty rezultat. Czy demontaż i wywóz przebiegły zgodnie z planem? Każdy dział/zespół aktualizuje zakładkę audytu końcowego. Czy podczas AKTYWNEGO ETAPU PRODUKCJI konieczne były jakieś kompromisy?</w:t>
      </w:r>
    </w:p>
    <w:p w:rsidR="00000000" w:rsidDel="00000000" w:rsidP="00000000" w:rsidRDefault="00000000" w:rsidRPr="00000000" w14:paraId="00000042">
      <w:pPr>
        <w:spacing w:line="240" w:lineRule="auto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>KROK 6: Wprowadź dane rzeczywiste (Actuals)</w:t>
      </w:r>
    </w:p>
    <w:p w:rsidR="00000000" w:rsidDel="00000000" w:rsidP="00000000" w:rsidRDefault="00000000" w:rsidRPr="00000000" w14:paraId="00000043">
      <w:pPr>
        <w:spacing w:line="240" w:lineRule="auto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Czas uzupełnić arkusz audytu końcowego. Zespoły sprawdzają, co rzeczywiście wydarzyło się podczas produkcji: </w:t>
      </w:r>
    </w:p>
    <w:p w:rsidR="00000000" w:rsidDel="00000000" w:rsidP="00000000" w:rsidRDefault="00000000" w:rsidRPr="00000000" w14:paraId="00000044">
      <w:pPr>
        <w:spacing w:line="240" w:lineRule="auto"/>
        <w:ind w:left="720" w:firstLine="0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Dobra wiadomość</w:t>
      </w:r>
      <w:r w:rsidDel="00000000" w:rsidR="00000000" w:rsidRPr="00000000">
        <w:rPr>
          <w:rFonts w:ascii="Itim" w:cs="Itim" w:eastAsia="Itim" w:hAnsi="Itim"/>
          <w:rtl w:val="0"/>
        </w:rPr>
        <w:t xml:space="preserve">: rusztowanie bezpiecznie wróciło do wypożyczalni, a lokalna szkoła odebrała sklejkę z podestu dokładnie zgodnie z planem. </w:t>
      </w:r>
    </w:p>
    <w:p w:rsidR="00000000" w:rsidDel="00000000" w:rsidP="00000000" w:rsidRDefault="00000000" w:rsidRPr="00000000" w14:paraId="00000045">
      <w:pPr>
        <w:spacing w:line="240" w:lineRule="auto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>Świetna robota, Zespole Scenografii!</w:t>
      </w:r>
    </w:p>
    <w:p w:rsidR="00000000" w:rsidDel="00000000" w:rsidP="00000000" w:rsidRDefault="00000000" w:rsidRPr="00000000" w14:paraId="00000046">
      <w:pPr>
        <w:spacing w:line="240" w:lineRule="auto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rPr>
          <w:rFonts w:ascii="Itim" w:cs="Itim" w:eastAsia="Itim" w:hAnsi="Itim"/>
          <w:color w:val="40b56d"/>
        </w:rPr>
      </w:pPr>
      <w:r w:rsidDel="00000000" w:rsidR="00000000" w:rsidRPr="00000000">
        <w:rPr>
          <w:rFonts w:ascii="Itim" w:cs="Itim" w:eastAsia="Itim" w:hAnsi="Itim"/>
          <w:color w:val="40b56d"/>
          <w:rtl w:val="0"/>
        </w:rPr>
        <w:t>UWAGA – ZBIERZCIE SIĘ PONOWNIE jako większy zespół kreatywny CIRCLE-T</w:t>
      </w:r>
    </w:p>
    <w:p w:rsidR="00000000" w:rsidDel="00000000" w:rsidP="00000000" w:rsidRDefault="00000000" w:rsidRPr="00000000" w14:paraId="00000048">
      <w:pPr>
        <w:spacing w:line="240" w:lineRule="auto"/>
        <w:ind w:left="720" w:firstLine="0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Finalizacja: Zielony Lider (Green Champion) blokuje</w:t>
      </w:r>
      <w:r w:rsidDel="00000000" w:rsidR="00000000" w:rsidRPr="00000000">
        <w:rPr>
          <w:rFonts w:ascii="Itim" w:cs="Itim" w:eastAsia="Itim" w:hAnsi="Itim"/>
          <w:rtl w:val="0"/>
        </w:rPr>
        <w:t xml:space="preserve"> komórki audytu końcowego. Pomimo drobnych zmian w trakcie prezentacji końcowe wyniki utrzymują się na poziomie (%?) dla Pozyskania (Sourcing) i (%?) dla Dalszego wykorzystania (Next Life), co pozwala uzyskać oficjalną certyfikację ETC Theatre Green Book. </w:t>
      </w:r>
    </w:p>
    <w:p w:rsidR="00000000" w:rsidDel="00000000" w:rsidP="00000000" w:rsidRDefault="00000000" w:rsidRPr="00000000" w14:paraId="0000004A">
      <w:pPr>
        <w:spacing w:line="240" w:lineRule="auto"/>
        <w:jc w:val="center"/>
        <w:rPr>
          <w:rFonts w:ascii="Barrio" w:cs="Barrio" w:eastAsia="Barrio" w:hAnsi="Barrio"/>
          <w:color w:val="40b56d"/>
          <w:sz w:val="42"/>
          <w:szCs w:val="42"/>
        </w:rPr>
      </w:pPr>
      <w:r w:rsidDel="00000000" w:rsidR="00000000" w:rsidRPr="00000000">
        <w:rPr>
          <w:rFonts w:ascii="Barrio" w:cs="Barrio" w:eastAsia="Barrio" w:hAnsi="Barrio"/>
          <w:color w:val="40b56d"/>
          <w:sz w:val="42"/>
          <w:szCs w:val="42"/>
          <w:rtl w:val="0"/>
        </w:rPr>
        <w:t xml:space="preserve">GRATULACJE!! </w:t>
      </w:r>
    </w:p>
    <w:p w:rsidR="00000000" w:rsidDel="00000000" w:rsidP="00000000" w:rsidRDefault="00000000" w:rsidRPr="00000000" w14:paraId="0000004B">
      <w:pPr>
        <w:spacing w:line="240" w:lineRule="auto"/>
        <w:jc w:val="center"/>
        <w:rPr>
          <w:rFonts w:ascii="Barrio" w:cs="Barrio" w:eastAsia="Barrio" w:hAnsi="Barrio"/>
          <w:color w:val="40b56d"/>
          <w:sz w:val="42"/>
          <w:szCs w:val="42"/>
        </w:rPr>
      </w:pPr>
      <w:r w:rsidDel="00000000" w:rsidR="00000000" w:rsidRPr="00000000">
        <w:rPr>
          <w:rFonts w:ascii="Barrio" w:cs="Barrio" w:eastAsia="Barrio" w:hAnsi="Barrio"/>
          <w:color w:val="40b56d"/>
          <w:sz w:val="40"/>
          <w:szCs w:val="42"/>
          <w:rtl w:val="0"/>
        </w:rPr>
        <w:t xml:space="preserve">ZRÓWNOWAŻENIE TEATRU CIRCLE-T MOŻNA TERAZ ZMIERZYĆ!! </w:t>
      </w:r>
    </w:p>
    <w:sectPr>
      <w:headerReference r:id="rId11" w:type="default"/>
      <w:footerReference r:id="rId12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Walter Turncoat">
    <w:embedRegular w:fontKey="{00000000-0000-0000-0000-000000000000}" r:id="rId1" w:subsetted="0"/>
  </w:font>
  <w:font w:name="Barrio">
    <w:embedRegular w:fontKey="{00000000-0000-0000-0000-000000000000}" r:id="rId2" w:subsetted="0"/>
  </w:font>
  <w:font w:name="Itim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pBdr>
        <w:top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pacing w:after="0" w:line="276" w:lineRule="auto"/>
      <w:ind w:right="526.0629921259857"/>
      <w:jc w:val="both"/>
      <w:rPr/>
    </w:pPr>
    <w:r w:rsidDel="00000000" w:rsidR="00000000" w:rsidRPr="00000000">
      <w:rPr>
        <w:rFonts w:ascii="Arial" w:cs="Arial" w:eastAsia="Arial" w:hAnsi="Arial"/>
        <w:i w:val="1"/>
        <w:iCs w:val="1"/>
        <w:sz w:val="14"/>
        <w:szCs w:val="14"/>
        <w:rtl w:val="0"/>
      </w:rPr>
      <w:t>Projekt finansowany przez Unię Europejską. Wyrażone poglądy i opinie są jednak wyłącznie poglądami i opiniami autora(ów) i niekoniecznie odzwierciedlają stanowisko Unii Europejskiej ani irlandzkiej Agencji Narodowej – Léargas. Ani Unia Europejska, ani Léargas nie ponoszą za nie odpowiedzialności. Numer projektu: 2024-1-IE01-KA220-YOU-000251167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spacing w:after="0" w:line="276" w:lineRule="auto"/>
      <w:jc w:val="center"/>
      <w:rPr>
        <w:rFonts w:ascii="Arial" w:cs="Arial" w:eastAsia="Arial" w:hAnsi="Arial"/>
        <w:b w:val="1"/>
        <w:bCs w:val="1"/>
      </w:rPr>
    </w:pPr>
    <w:r w:rsidDel="00000000" w:rsidR="00000000" w:rsidRPr="00000000">
      <w:rPr>
        <w:rFonts w:ascii="Arial" w:cs="Arial" w:eastAsia="Arial" w:hAnsi="Arial"/>
        <w:sz w:val="22"/>
        <w:szCs w:val="22"/>
      </w:rPr>
      <w:drawing>
        <wp:inline distB="114300" distT="114300" distL="114300" distR="114300">
          <wp:extent cx="1795707" cy="404813"/>
          <wp:effectExtent b="0" l="0" r="0" t="0"/>
          <wp:docPr id="83846695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95707" cy="4048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       </w:t>
    </w:r>
    <w:r w:rsidDel="00000000" w:rsidR="00000000" w:rsidRPr="00000000">
      <w:rPr>
        <w:rFonts w:ascii="Arial" w:cs="Arial" w:eastAsia="Arial" w:hAnsi="Arial"/>
        <w:b w:val="1"/>
        <w:bCs w:val="1"/>
      </w:rPr>
      <w:drawing>
        <wp:inline distB="114300" distT="114300" distL="114300" distR="114300">
          <wp:extent cx="1195388" cy="443118"/>
          <wp:effectExtent b="0" l="0" r="0" t="0"/>
          <wp:docPr id="838466956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95388" cy="4431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rial" w:cs="Arial" w:eastAsia="Arial" w:hAnsi="Arial"/>
        <w:b w:val="1"/>
        <w:bCs w:val="1"/>
        <w:rtl w:val="0"/>
      </w:rPr>
      <w:t xml:space="preserve">       </w:t>
    </w:r>
    <w:r w:rsidDel="00000000" w:rsidR="00000000" w:rsidRPr="00000000">
      <w:rPr>
        <w:rFonts w:ascii="Arial" w:cs="Arial" w:eastAsia="Arial" w:hAnsi="Arial"/>
        <w:b w:val="1"/>
        <w:bCs w:val="1"/>
      </w:rPr>
      <w:drawing>
        <wp:inline distB="114300" distT="114300" distL="114300" distR="114300">
          <wp:extent cx="1709738" cy="484082"/>
          <wp:effectExtent b="0" l="0" r="0" t="0"/>
          <wp:docPr id="83846695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9738" cy="48408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spacing w:after="0" w:line="276" w:lineRule="auto"/>
      <w:jc w:val="center"/>
      <w:rPr>
        <w:rFonts w:ascii="Arial" w:cs="Arial" w:eastAsia="Arial" w:hAnsi="Arial"/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IE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8113CF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8113CF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8113CF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8113CF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8113CF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8113CF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8113CF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8113CF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8113CF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8113CF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8113CF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8113CF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8113C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8113CF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8113CF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8113CF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8113CF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8113CF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8113CF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113CF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8113CF"/>
    <w:rPr>
      <w:b w:val="1"/>
      <w:bCs w:val="1"/>
      <w:smallCaps w:val="1"/>
      <w:color w:val="2f5496" w:themeColor="accent1" w:themeShade="0000BF"/>
      <w:spacing w:val="5"/>
    </w:rPr>
  </w:style>
  <w:style w:type="character" w:styleId="Hyperlink">
    <w:name w:val="Hyperlink"/>
    <w:basedOn w:val="DefaultParagraphFont"/>
    <w:uiPriority w:val="99"/>
    <w:semiHidden w:val="1"/>
    <w:unhideWhenUsed w:val="1"/>
    <w:rsid w:val="00C423E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C423E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A77A3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77A3B"/>
  </w:style>
  <w:style w:type="paragraph" w:styleId="Footer">
    <w:name w:val="footer"/>
    <w:basedOn w:val="Normal"/>
    <w:link w:val="FooterChar"/>
    <w:uiPriority w:val="99"/>
    <w:unhideWhenUsed w:val="1"/>
    <w:rsid w:val="00A77A3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77A3B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theatregreenbook.com/productionscalculator/" TargetMode="External"/><Relationship Id="rId12" Type="http://schemas.openxmlformats.org/officeDocument/2006/relationships/footer" Target="footer1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spreadsheets/d/1963ZNsPDmC7usBbec7-sEKsV57siMvbz/edit?gid=1582663651#gid=1582663651" TargetMode="External"/><Relationship Id="rId8" Type="http://schemas.openxmlformats.org/officeDocument/2006/relationships/image" Target="media/image5.png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WalterTurncoat-regular.ttf"/><Relationship Id="rId2" Type="http://schemas.openxmlformats.org/officeDocument/2006/relationships/font" Target="fonts/Barrio-regular.ttf"/><Relationship Id="rId3" Type="http://schemas.openxmlformats.org/officeDocument/2006/relationships/font" Target="fonts/Itim-regular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pn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7V+Fss7QkM8HxxQ3f3k+Lmsnvw==">CgMxLjA4AHIhMWlZaTItbzBzMThlRy1oejY0ZEs5OEpmNGVhcDdtNnNQ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2026-08-20T12:15:00Z</dcterms:created>
  <dc:creator>Seamus Quinn</dc:creator>
  <dc:title>CIRCLE-T Moduł 2 – Wielkie wyzwanie Theatre Green Book – Scenografia</dc:title>
  <dc:subject>Polskie tłumaczenie materiału szkoleniowego CIRCLE-T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75eceb46-4d4a-4b93-8610-eaf9c1c6f5e2</vt:lpwstr>
  </property>
</Properties>
</file>