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arrio-regular.ttf" ContentType="application/x-font-ttf"/>
  <Override PartName="/word/fonts/Itim-regular.ttf" ContentType="application/x-font-ttf"/>
  <Override PartName="/word/fonts/WalterTurncoat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Barrio" w:cs="Barrio" w:eastAsia="Barrio" w:hAnsi="Barrio"/>
          <w:sz w:val="44"/>
          <w:szCs w:val="44"/>
        </w:rPr>
      </w:pPr>
      <w:r w:rsidDel="00000000" w:rsidR="00000000" w:rsidRPr="00000000">
        <w:rPr>
          <w:rFonts w:ascii="Barrio" w:cs="Barrio" w:eastAsia="Barrio" w:hAnsi="Barrio"/>
          <w:color w:val="40b56d"/>
          <w:sz w:val="44"/>
          <w:szCs w:val="44"/>
          <w:rtl w:val="0"/>
        </w:rPr>
        <w:t xml:space="preserve">WIELKIE WYZWANIE THEATRE GREEN BOOK</w:t>
      </w:r>
      <w:r w:rsidDel="00000000" w:rsidR="00000000" w:rsidRPr="00000000">
        <w:rPr>
          <w:rFonts w:ascii="Barrio" w:cs="Barrio" w:eastAsia="Barrio" w:hAnsi="Barrio"/>
          <w:sz w:val="44"/>
          <w:szCs w:val="44"/>
          <w:rtl w:val="0"/>
        </w:rPr>
        <w:t xml:space="preserve"> – KOSTIUMY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Interaktywny warsztat szkoleniowy dotyczący zrównoważonej praktyki teatralnej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Produkcja</w:t>
      </w:r>
      <w:r w:rsidDel="00000000" w:rsidR="00000000" w:rsidRPr="00000000">
        <w:rPr>
          <w:rFonts w:ascii="Itim" w:cs="Itim" w:eastAsia="Itim" w:hAnsi="Itim"/>
          <w:rtl w:val="0"/>
        </w:rPr>
        <w:t xml:space="preserve">: surowa, współczesna inscenizacja „Romea i Julii” Williama Szekspira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Wspólny cel: Osiągnięcie podstawowego standardu audytu ETC Theatre Green Book (50% zrównoważonego pozyskiwania / 65% dalszego wykorzystania) dla całej produkcji.</w:t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color w:val="40b56d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UWAGA. Zielony Lider (Green Champion): wybrany koordynator produkcji</w:t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color w:val="40b56d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Barrio" w:cs="Barrio" w:eastAsia="Barrio" w:hAnsi="Barrio"/>
          <w:sz w:val="30"/>
          <w:szCs w:val="30"/>
        </w:rPr>
      </w:pPr>
      <w:r w:rsidDel="00000000" w:rsidR="00000000" w:rsidRPr="00000000">
        <w:rPr>
          <w:rFonts w:ascii="Barrio" w:cs="Barrio" w:eastAsia="Barrio" w:hAnsi="Barrio"/>
          <w:sz w:val="30"/>
          <w:szCs w:val="30"/>
          <w:rtl w:val="0"/>
        </w:rPr>
        <w:t>OPIS ZADANIA (BRIEF) I WYZWANIE</w:t>
      </w:r>
    </w:p>
    <w:p w:rsidR="00000000" w:rsidDel="00000000" w:rsidP="00000000" w:rsidRDefault="00000000" w:rsidRPr="00000000" w14:paraId="00000008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Sytuacja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Witajcie w zespole produkcyjnym. Oficjalnie rozpoczynacie etap przedprodukcyjny naszej inscenizacji „Romea i Julii”. Miejsce prezentacji i instytucje finansujące wymagają, aby produkcja spełniła podstawowy standard audytu ETC Theatre Green Book. Oznacza to, że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50% wszystkiego, co znajdzie się na scenie, musi pochodzić ze zrównoważonych źródeł, a 65% elementów po ostatnim spektaklu musi trafić do potwierdzonego dalszego wykorzystania (Next Life). </w:t>
      </w:r>
    </w:p>
    <w:p w:rsidR="00000000" w:rsidDel="00000000" w:rsidP="00000000" w:rsidRDefault="00000000" w:rsidRPr="00000000" w14:paraId="0000000A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Misja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Dzielicie się na zespoły działowe: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Scenografii</w:t>
      </w:r>
      <w:r w:rsidDel="00000000" w:rsidR="00000000" w:rsidRPr="00000000">
        <w:rPr>
          <w:rFonts w:ascii="Itim" w:cs="Itim" w:eastAsia="Itim" w:hAnsi="Itim"/>
          <w:rtl w:val="0"/>
        </w:rPr>
        <w:t xml:space="preserve">,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Kostiumów</w:t>
      </w:r>
      <w:r w:rsidDel="00000000" w:rsidR="00000000" w:rsidRPr="00000000">
        <w:rPr>
          <w:rFonts w:ascii="Itim" w:cs="Itim" w:eastAsia="Itim" w:hAnsi="Itim"/>
          <w:rtl w:val="0"/>
        </w:rPr>
        <w:t xml:space="preserve"> i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Rekwizytów</w:t>
      </w:r>
      <w:r w:rsidDel="00000000" w:rsidR="00000000" w:rsidRPr="00000000">
        <w:rPr>
          <w:rFonts w:ascii="Itim" w:cs="Itim" w:eastAsia="Itim" w:hAnsi="Itim"/>
          <w:rtl w:val="0"/>
        </w:rPr>
        <w:t xml:space="preserve">. Musicie połączyć wizję artystyczną z zasadami gospodarki cyrkularnej. Jako jeden zespół produkcyjny wspólnie osiągacie sukces albo wspólnie nie spełniacie celu. 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Waszym zadaniem jest przejście przez trzy chronologiczne etapy cyklu życia produkcji: szacunek (Estimate), audyt w trakcie (In Progress Audit) i audyt końcowy (Final Audit), aby stopniowo poprawić wynik środowiskowy produkcji.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AUDYTY: </w:t>
      </w:r>
      <w:hyperlink r:id="rId7">
        <w:r w:rsidDel="00000000" w:rsidR="00000000" w:rsidRPr="00000000">
          <w:rPr>
            <w:rFonts w:ascii="Itim" w:cs="Itim" w:eastAsia="Itim" w:hAnsi="Itim"/>
            <w:color w:val="0000ee"/>
            <w:u w:val="single"/>
            <w:rtl w:val="0"/>
          </w:rPr>
          <w:t xml:space="preserve">CIRCLE-T MODUŁ 2 – Kalkulator produkcji, wersja wstępnie wypełniona.xlsx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1071563</wp:posOffset>
                </wp:positionH>
                <wp:positionV relativeFrom="paragraph">
                  <wp:posOffset>109538</wp:posOffset>
                </wp:positionV>
                <wp:extent cx="1960621" cy="1270065"/>
                <wp:effectExtent b="0" l="0" r="0" t="0"/>
                <wp:wrapNone/>
                <wp:docPr id="83846695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 rot="10800000">
                          <a:off x="4507200" y="3241800"/>
                          <a:ext cx="1677600" cy="1076400"/>
                        </a:xfrm>
                        <a:prstGeom prst="bentArrow">
                          <a:avLst>
                            <a:gd fmla="val 25000" name="adj1"/>
                            <a:gd fmla="val 25000" name="adj2"/>
                            <a:gd fmla="val 25000" name="adj3"/>
                            <a:gd fmla="val 43750" name="adj4"/>
                          </a:avLst>
                        </a:prstGeom>
                        <a:solidFill>
                          <a:srgbClr val="40B56D"/>
                        </a:solidFill>
                        <a:ln cap="flat" cmpd="sng" w="9525">
                          <a:solidFill>
                            <a:srgbClr val="F5C02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1071563</wp:posOffset>
                </wp:positionH>
                <wp:positionV relativeFrom="paragraph">
                  <wp:posOffset>109538</wp:posOffset>
                </wp:positionV>
                <wp:extent cx="1960621" cy="1270065"/>
                <wp:effectExtent b="0" l="0" r="0" t="0"/>
                <wp:wrapNone/>
                <wp:docPr id="83846695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0621" cy="1270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3533775</wp:posOffset>
            </wp:positionH>
            <wp:positionV relativeFrom="paragraph">
              <wp:posOffset>114300</wp:posOffset>
            </wp:positionV>
            <wp:extent cx="1681163" cy="1681163"/>
            <wp:effectExtent b="0" l="0" r="0" t="0"/>
            <wp:wrapNone/>
            <wp:docPr id="83846696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1163" cy="16811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spacing w:lin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Barrio" w:cs="Barrio" w:eastAsia="Barrio" w:hAnsi="Barrio"/>
          <w:sz w:val="30"/>
          <w:szCs w:val="30"/>
        </w:rPr>
      </w:pPr>
      <w:r w:rsidDel="00000000" w:rsidR="00000000" w:rsidRPr="00000000">
        <w:rPr>
          <w:rFonts w:ascii="Barrio" w:cs="Barrio" w:eastAsia="Barrio" w:hAnsi="Barrio"/>
          <w:sz w:val="30"/>
          <w:szCs w:val="30"/>
          <w:rtl w:val="0"/>
        </w:rPr>
        <w:t xml:space="preserve">ZESPÓŁ 2 – KOSTIUMY I GARDEROBA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Opis ➔ Pozyskanie ➔ Dalsze wykorzystanie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Itim" w:cs="Itim" w:eastAsia="Itim" w:hAnsi="Itim"/>
        </w:rPr>
      </w:pPr>
      <w:hyperlink r:id="rId10">
        <w:r w:rsidDel="00000000" w:rsidR="00000000" w:rsidRPr="00000000">
          <w:rPr>
            <w:rFonts w:ascii="Itim" w:cs="Itim" w:eastAsia="Itim" w:hAnsi="Itim"/>
            <w:color w:val="1155cc"/>
            <w:u w:val="single"/>
            <w:rtl w:val="0"/>
          </w:rPr>
          <w:t xml:space="preserve">https://theatregreenbook.com/productionscalculator/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720" w:firstLine="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ETAP 1: PLANOWANIE PRZEDPRODUKCYJNE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Zakładka: Garderoba/kostiumy (Wardrobe/Costumes)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Uzupełnij opis elementu, sposób pozyskania i dalsze wykorzystanie.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Wiersz 1: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Element: Podstawowe elementy strojów rywalizujących gangów (Kapuletowie i Montekowie) 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Pozyskanie: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Standardowe (Standard)</w:t>
      </w:r>
      <w:r w:rsidDel="00000000" w:rsidR="00000000" w:rsidRPr="00000000">
        <w:rPr>
          <w:rFonts w:ascii="Itim" w:cs="Itim" w:eastAsia="Itim" w:hAnsi="Itim"/>
          <w:rtl w:val="0"/>
        </w:rPr>
        <w:t xml:space="preserve"> (20 par nowych jeansów i kurtek jeansowych od sprzedawcy szybkiej mody (fast fashion)) 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Składowisko odpadów (Landfill)</w:t>
      </w:r>
      <w:r w:rsidDel="00000000" w:rsidR="00000000" w:rsidRPr="00000000">
        <w:rPr>
          <w:rFonts w:ascii="Itim" w:cs="Itim" w:eastAsia="Itim" w:hAnsi="Itim"/>
          <w:rtl w:val="0"/>
        </w:rPr>
        <w:t xml:space="preserve"> (przeznaczone do wyrzucenia po intensywnym użytkowaniu podczas spektakli) 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Wiersz 2: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Element: Suknia Julii na przyjęcie 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Pozyskanie: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Standardowe (Standard)</w:t>
      </w:r>
      <w:r w:rsidDel="00000000" w:rsidR="00000000" w:rsidRPr="00000000">
        <w:rPr>
          <w:rFonts w:ascii="Itim" w:cs="Itim" w:eastAsia="Itim" w:hAnsi="Itim"/>
          <w:rtl w:val="0"/>
        </w:rPr>
        <w:t xml:space="preserve"> (nowo zakupiona syntetyczna tkanina poliestrowa) 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Powrót do magazynu (Return to Stock)</w:t>
      </w:r>
      <w:r w:rsidDel="00000000" w:rsidR="00000000" w:rsidRPr="00000000">
        <w:rPr>
          <w:rFonts w:ascii="Itim" w:cs="Itim" w:eastAsia="Itim" w:hAnsi="Itim"/>
          <w:rtl w:val="0"/>
        </w:rPr>
        <w:t xml:space="preserve"> (zachowanie w stałym zasobie garderoby przeznaczonej do wypożyczania) 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Wiersz 3: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Element: Stroje do scen walki (Tybalt i Merkucjo)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Pozyskanie: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Standardowe (Standard)</w:t>
      </w:r>
      <w:r w:rsidDel="00000000" w:rsidR="00000000" w:rsidRPr="00000000">
        <w:rPr>
          <w:rFonts w:ascii="Itim" w:cs="Itim" w:eastAsia="Itim" w:hAnsi="Itim"/>
          <w:rtl w:val="0"/>
        </w:rPr>
        <w:t xml:space="preserve"> (nowe koszule kupione w sklepie) 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Składowisko odpadów (Landfill)</w:t>
      </w:r>
      <w:r w:rsidDel="00000000" w:rsidR="00000000" w:rsidRPr="00000000">
        <w:rPr>
          <w:rFonts w:ascii="Itim" w:cs="Itim" w:eastAsia="Itim" w:hAnsi="Itim"/>
          <w:rtl w:val="0"/>
        </w:rPr>
        <w:t xml:space="preserve"> (zostaną trwale zniszczone przez dużą ilość sztucznej krwi i intensywne postarzanie podczas scen walki) 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Sprawdź panel swojego działu 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Zespoły kończą wprowadzanie danych swojego DZIAŁU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Sprawdź zakładkę „Panel podsumowujący” (Summary Dashboard). Kalkulator zbiera dane i wyświetla czerwony alert: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Zrównoważone pozyskiwanie %: (?%) (NIE SPEŁNIA podstawowego celu 50%)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 %: (?%) (NIE SPEŁNIA podstawowego celu 65%)</w:t>
      </w:r>
    </w:p>
    <w:p w:rsidR="00000000" w:rsidDel="00000000" w:rsidP="00000000" w:rsidRDefault="00000000" w:rsidRPr="00000000" w14:paraId="0000002B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 xml:space="preserve">UWAGA – ZBIERZCIE SIĘ PONOWNIE jako większy zespół kreatywny CIRCLE-T</w:t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Pilne spotkanie informacyjne (briefing) Zielonego Lidera (Green Champion):</w:t>
      </w:r>
      <w:r w:rsidDel="00000000" w:rsidR="00000000" w:rsidRPr="00000000">
        <w:rPr>
          <w:rFonts w:ascii="Itim" w:cs="Itim" w:eastAsia="Itim" w:hAnsi="Itim"/>
          <w:rtl w:val="0"/>
        </w:rPr>
        <w:t xml:space="preserve"> „Zespół, kupujemy (%?) nowych, niecertyfikowanych materiałów komercyjnych, a ponad połowa elementów naszej produkcji po demontażu trafi prosto do kontenera na odpady. Musimy się zatrzymać, zanim wydamy choć jedno euro. Wróćmy teraz do odpowiednich zakładek i działów i znajdźmy zamienniki, które pozwolą zmienić ten panel z czerwonego na zielony.” </w:t>
      </w:r>
    </w:p>
    <w:p w:rsidR="00000000" w:rsidDel="00000000" w:rsidP="00000000" w:rsidRDefault="00000000" w:rsidRPr="00000000" w14:paraId="0000002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center"/>
        <w:rPr>
          <w:rFonts w:ascii="Barrio" w:cs="Barrio" w:eastAsia="Barrio" w:hAnsi="Barrio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sz w:val="42"/>
          <w:szCs w:val="42"/>
          <w:rtl w:val="0"/>
        </w:rPr>
        <w:t xml:space="preserve">PRZEJDŹ DO ETAPU DRUGIEGO</w:t>
      </w:r>
    </w:p>
    <w:p w:rsidR="00000000" w:rsidDel="00000000" w:rsidP="00000000" w:rsidRDefault="00000000" w:rsidRPr="00000000" w14:paraId="00000030">
      <w:pPr>
        <w:spacing w:line="240" w:lineRule="auto"/>
        <w:jc w:val="center"/>
        <w:rPr>
          <w:rFonts w:ascii="Barrio" w:cs="Barrio" w:eastAsia="Barrio" w:hAnsi="Barrio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720" w:firstLine="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ETAP 2: AKTUALIZACJA PRZEDPRODUKCYJNA </w:t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Każdy dział musi teraz poprawić swoje wiersze, wykorzystując lepsze rozwiązania, takie jak wynajem, wypożyczanie i lokalne pozyskiwanie zasobów, aby podnieść wynik całej produkcji. 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Barrio" w:cs="Barrio" w:eastAsia="Barrio" w:hAnsi="Barrio"/>
        </w:rPr>
      </w:pPr>
      <w:r w:rsidDel="00000000" w:rsidR="00000000" w:rsidRPr="00000000">
        <w:rPr>
          <w:rFonts w:ascii="Barrio" w:cs="Barrio" w:eastAsia="Barrio" w:hAnsi="Barrio"/>
          <w:rtl w:val="0"/>
        </w:rPr>
        <w:t xml:space="preserve">ZESPÓŁ 2: ZMIANA PLANU – KOSTIUMY I GARDEROBA</w:t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Co możecie zrobić, aby poprawić wynik? Dlaczego wybierać szybką modę (fast fashion)? Czy lepszym rozwiązaniem byłaby zbiórka używanych elementów garderoby wśród lokalnej społeczności i obsady? Być może nie uda się zebrać wszystkiego, ale czy warto spróbować?</w:t>
      </w:r>
    </w:p>
    <w:p w:rsidR="00000000" w:rsidDel="00000000" w:rsidP="00000000" w:rsidRDefault="00000000" w:rsidRPr="00000000" w14:paraId="00000035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u w:val="single"/>
          <w:rtl w:val="0"/>
        </w:rPr>
        <w:t xml:space="preserve">Możliwe działanie 1</w:t>
      </w:r>
      <w:r w:rsidDel="00000000" w:rsidR="00000000" w:rsidRPr="00000000">
        <w:rPr>
          <w:rFonts w:ascii="Itim" w:cs="Itim" w:eastAsia="Itim" w:hAnsi="Itim"/>
          <w:rtl w:val="0"/>
        </w:rPr>
        <w:t xml:space="preserve">: Pozyskajcie z drugiej ręki 15 z 20 wymaganych elementów garderoby dla gangów. Zmieńcie odpowiednie wiersze na Ponowne użycie (Reused) w polu Pozyskanie (Sourcing). </w:t>
      </w:r>
    </w:p>
    <w:p w:rsidR="00000000" w:rsidDel="00000000" w:rsidP="00000000" w:rsidRDefault="00000000" w:rsidRPr="00000000" w14:paraId="00000036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u w:val="single"/>
          <w:rtl w:val="0"/>
        </w:rPr>
        <w:t xml:space="preserve">Możliwe działanie 2</w:t>
      </w:r>
      <w:r w:rsidDel="00000000" w:rsidR="00000000" w:rsidRPr="00000000">
        <w:rPr>
          <w:rFonts w:ascii="Itim" w:cs="Itim" w:eastAsia="Itim" w:hAnsi="Itim"/>
          <w:rtl w:val="0"/>
        </w:rPr>
        <w:t xml:space="preserve">: Zaakceptujcie, że stroje Tybalta i Merkucja do scen walki zostaną zniszczone przez sztuczną krew i muszą pozostać jako Składowisko odpadów (Landfill) w polu Dalsze wykorzystanie (Next Life). Aby zrównoważyć ten wynik, zastąpcie syntetyczny poliester w sukni Julii na przyjęcie bawełną organiczną lub lnem, zmieniając Pozyskanie na Pozyskane w sposób zrównoważony (Sourced Sustainably).</w:t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ZAKTUALIZUJCIE WIERSZE zgodnie z nowymi założeniami. Czy wasz dział osiągnął wymagane progi zrównoważonego pozyskiwania i dalszego wykorzystania?</w:t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 xml:space="preserve">UWAGA – ZBIERZCIE SIĘ PONOWNIE jako większy zespół kreatywny CIRCLE-T. Czy jako wspólny zespół osiągnęliście podstawowe cele Theatre Green Book na etapie przedprodukcyjnym?</w:t>
      </w:r>
    </w:p>
    <w:p w:rsidR="00000000" w:rsidDel="00000000" w:rsidP="00000000" w:rsidRDefault="00000000" w:rsidRPr="00000000" w14:paraId="0000003A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Ponowne sprawdzenie panelu audytu szacunkowego</w:t>
      </w:r>
    </w:p>
    <w:p w:rsidR="00000000" w:rsidDel="00000000" w:rsidP="00000000" w:rsidRDefault="00000000" w:rsidRPr="00000000" w14:paraId="0000003C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Zielony Lider (Green Champion) sprawdza wspólny panel audytu poziomu podstawowego. Czy nowe automatyczne wyliczenia sprawiają, że wynik waszego działu i całej produkcji spełnia wymagane progi zrównoważonego rozwoju? </w:t>
      </w:r>
    </w:p>
    <w:p w:rsidR="00000000" w:rsidDel="00000000" w:rsidP="00000000" w:rsidRDefault="00000000" w:rsidRPr="00000000" w14:paraId="0000003D">
      <w:pPr>
        <w:spacing w:line="240" w:lineRule="auto"/>
        <w:ind w:firstLine="72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Nowy wynik zrównoważonego pozyskiwania: nowy %</w:t>
      </w:r>
      <w:r w:rsidDel="00000000" w:rsidR="00000000" w:rsidRPr="00000000">
        <w:rPr>
          <w:rFonts w:ascii="Itim" w:cs="Itim" w:eastAsia="Itim" w:hAnsi="Itim"/>
          <w:rtl w:val="0"/>
        </w:rPr>
        <w:t xml:space="preserve"> (SPEŁNIA podstawowy cel 50%)</w:t>
      </w:r>
    </w:p>
    <w:p w:rsidR="00000000" w:rsidDel="00000000" w:rsidP="00000000" w:rsidRDefault="00000000" w:rsidRPr="00000000" w14:paraId="0000003E">
      <w:pPr>
        <w:spacing w:line="240" w:lineRule="auto"/>
        <w:ind w:firstLine="72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Nowy wynik dalszego wykorzystania: nowy %</w:t>
      </w:r>
      <w:r w:rsidDel="00000000" w:rsidR="00000000" w:rsidRPr="00000000">
        <w:rPr>
          <w:rFonts w:ascii="Itim" w:cs="Itim" w:eastAsia="Itim" w:hAnsi="Itim"/>
          <w:rtl w:val="0"/>
        </w:rPr>
        <w:t xml:space="preserve"> (SPEŁNIA podstawowy cel 65%)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Czy wartości procentowe zmieniły się we właściwym kierunku?</w:t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Czy jako wspólny zespół osiągnęliście cele podstawowego poziomu Theatre Green Book?</w:t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both"/>
        <w:rPr>
          <w:rFonts w:ascii="Itim" w:cs="Itim" w:eastAsia="Itim" w:hAnsi="Itim"/>
          <w:i w:val="1"/>
          <w:iCs w:val="1"/>
        </w:rPr>
      </w:pPr>
      <w:r w:rsidDel="00000000" w:rsidR="00000000" w:rsidRPr="00000000">
        <w:rPr>
          <w:rFonts w:ascii="Itim" w:cs="Itim" w:eastAsia="Itim" w:hAnsi="Itim"/>
          <w:i w:val="1"/>
          <w:iCs w:val="1"/>
          <w:rtl w:val="0"/>
        </w:rPr>
        <w:t xml:space="preserve">Jeśli tak, projekt oficjalnie otrzymuje zielone światło do realizacji!</w:t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Barrio" w:cs="Barrio" w:eastAsia="Barrio" w:hAnsi="Barrio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sz w:val="42"/>
          <w:szCs w:val="42"/>
          <w:rtl w:val="0"/>
        </w:rPr>
        <w:t xml:space="preserve">PRZEJDŹ DO ETAPU TRZECIEGO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ETAP 3: AUDYT KOŃCOWY (rozliczenie po demontażu)</w:t>
      </w:r>
    </w:p>
    <w:p w:rsidR="00000000" w:rsidDel="00000000" w:rsidP="00000000" w:rsidRDefault="00000000" w:rsidRPr="00000000" w14:paraId="00000046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Produkcja zakończyła udany cykl prezentacji, demontaż jest już za nami i trzeba teraz zapisać rzeczywisty rezultat. </w:t>
      </w:r>
    </w:p>
    <w:p w:rsidR="00000000" w:rsidDel="00000000" w:rsidP="00000000" w:rsidRDefault="00000000" w:rsidRPr="00000000" w14:paraId="00000047">
      <w:pPr>
        <w:spacing w:line="240" w:lineRule="auto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>KROK 6: Wprowadź dane rzeczywiste (Actuals)</w:t>
      </w:r>
    </w:p>
    <w:p w:rsidR="00000000" w:rsidDel="00000000" w:rsidP="00000000" w:rsidRDefault="00000000" w:rsidRPr="00000000" w14:paraId="00000048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Dobra wiadomość</w:t>
      </w:r>
      <w:r w:rsidDel="00000000" w:rsidR="00000000" w:rsidRPr="00000000">
        <w:rPr>
          <w:rFonts w:ascii="Itim" w:cs="Itim" w:eastAsia="Itim" w:hAnsi="Itim"/>
          <w:rtl w:val="0"/>
        </w:rPr>
        <w:t xml:space="preserve">: Zbiórka używanej odzieży jeansowej w społeczności zakończyła się pełnym sukcesem – zapiszcie to.</w:t>
      </w:r>
    </w:p>
    <w:p w:rsidR="00000000" w:rsidDel="00000000" w:rsidP="00000000" w:rsidRDefault="00000000" w:rsidRPr="00000000" w14:paraId="00000049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Niespodziewana zmiana</w:t>
      </w:r>
      <w:r w:rsidDel="00000000" w:rsidR="00000000" w:rsidRPr="00000000">
        <w:rPr>
          <w:rFonts w:ascii="Itim" w:cs="Itim" w:eastAsia="Itim" w:hAnsi="Itim"/>
          <w:rtl w:val="0"/>
        </w:rPr>
        <w:t xml:space="preserve">: Podczas prób technicznych reżyser zdecydował, że trzy kurtki jeansowe Monteków zostaną mocno postarzane i pomalowane sprayem. Te 3 konkretne kurtki zmieniają kategorię z „Powrót do magazynu (Return to Stock)” na „Składowisko odpadów (Landfill)” – zapiszcie to.</w:t>
      </w:r>
    </w:p>
    <w:p w:rsidR="00000000" w:rsidDel="00000000" w:rsidP="00000000" w:rsidRDefault="00000000" w:rsidRPr="00000000" w14:paraId="0000004A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 xml:space="preserve">UWAGA – ZBIERZCIE SIĘ PONOWNIE jako większy zespół kreatywny CIRCLE-T</w:t>
      </w:r>
    </w:p>
    <w:p w:rsidR="00000000" w:rsidDel="00000000" w:rsidP="00000000" w:rsidRDefault="00000000" w:rsidRPr="00000000" w14:paraId="0000004C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Finalizacja</w:t>
      </w:r>
      <w:r w:rsidDel="00000000" w:rsidR="00000000" w:rsidRPr="00000000">
        <w:rPr>
          <w:rFonts w:ascii="Itim" w:cs="Itim" w:eastAsia="Itim" w:hAnsi="Itim"/>
          <w:rtl w:val="0"/>
        </w:rPr>
        <w:t xml:space="preserve">: Zielony Lider (Green Champion) blokuje audyt końcowy (Final Audit). Pomimo drobnych zmian w trakcie prezentacji końcowe wyniki utrzymują się na poziomie (?%) dla Pozyskania (Sourcing) i (?%) dla Dalszego wykorzystania (Next Life), co pozwala uzyskać oficjalną certyfikację ETC Theatre Green Book. </w:t>
      </w:r>
    </w:p>
    <w:p w:rsidR="00000000" w:rsidDel="00000000" w:rsidP="00000000" w:rsidRDefault="00000000" w:rsidRPr="00000000" w14:paraId="0000004D">
      <w:pPr>
        <w:spacing w:line="240" w:lineRule="auto"/>
        <w:ind w:left="720" w:firstLine="0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center"/>
        <w:rPr>
          <w:rFonts w:ascii="Barrio" w:cs="Barrio" w:eastAsia="Barrio" w:hAnsi="Barrio"/>
          <w:color w:val="40b56d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color w:val="40b56d"/>
          <w:sz w:val="42"/>
          <w:szCs w:val="42"/>
          <w:rtl w:val="0"/>
        </w:rPr>
        <w:t xml:space="preserve">GRATULACJE!! </w:t>
      </w:r>
    </w:p>
    <w:p w:rsidR="00000000" w:rsidDel="00000000" w:rsidP="00000000" w:rsidRDefault="00000000" w:rsidRPr="00000000" w14:paraId="0000004F">
      <w:pPr>
        <w:spacing w:line="240" w:lineRule="auto"/>
        <w:jc w:val="center"/>
        <w:rPr>
          <w:rFonts w:ascii="Barrio" w:cs="Barrio" w:eastAsia="Barrio" w:hAnsi="Barrio"/>
          <w:color w:val="40b56d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color w:val="40b56d"/>
          <w:sz w:val="42"/>
          <w:szCs w:val="42"/>
          <w:rtl w:val="0"/>
        </w:rPr>
        <w:t xml:space="preserve">ZRÓWNOWAŻENIE TEATRU CIRCLE-T MOŻNA TERAZ ZMIERZYĆ!! </w:t>
      </w:r>
    </w:p>
    <w:p w:rsidR="00000000" w:rsidDel="00000000" w:rsidP="00000000" w:rsidRDefault="00000000" w:rsidRPr="00000000" w14:paraId="00000050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Walter Turncoat">
    <w:embedRegular w:fontKey="{00000000-0000-0000-0000-000000000000}" r:id="rId1" w:subsetted="0"/>
  </w:font>
  <w:font w:name="Barrio">
    <w:embedRegular w:fontKey="{00000000-0000-0000-0000-000000000000}" r:id="rId2" w:subsetted="0"/>
  </w:font>
  <w:font w:name="Itim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pBdr>
        <w:top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="276" w:lineRule="auto"/>
      <w:ind w:right="526.0629921259857"/>
      <w:jc w:val="both"/>
      <w:rPr/>
    </w:pPr>
    <w:r w:rsidDel="00000000" w:rsidR="00000000" w:rsidRPr="00000000">
      <w:rPr>
        <w:rFonts w:ascii="Arial" w:cs="Arial" w:eastAsia="Arial" w:hAnsi="Arial"/>
        <w:i w:val="1"/>
        <w:iCs w:val="1"/>
        <w:sz w:val="14"/>
        <w:szCs w:val="14"/>
        <w:rtl w:val="0"/>
      </w:rPr>
      <w:t xml:space="preserve">Projekt finansowany przez Unię Europejską. Wyrażone poglądy i opinie są jednak wyłącznie poglądami i opiniami autora(ów) i niekoniecznie odzwierciedlają stanowisko Unii Europejskiej ani irlandzkiej Agencji Narodowej – Léargas. Ani Unia Europejska, ani Léargas nie ponoszą za nie odpowiedzialności. Numer projektu: 2024-1-IE01-KA220-YOU-000251167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spacing w:after="0" w:line="276" w:lineRule="auto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sz w:val="22"/>
        <w:szCs w:val="22"/>
      </w:rPr>
      <w:drawing>
        <wp:inline distB="114300" distT="114300" distL="114300" distR="114300">
          <wp:extent cx="1795707" cy="404813"/>
          <wp:effectExtent b="0" l="0" r="0" t="0"/>
          <wp:docPr id="83846696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5707" cy="4048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</w:rPr>
      <w:drawing>
        <wp:inline distB="114300" distT="114300" distL="114300" distR="114300">
          <wp:extent cx="1195388" cy="443118"/>
          <wp:effectExtent b="0" l="0" r="0" t="0"/>
          <wp:docPr id="83846696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388" cy="4431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</w:rPr>
      <w:drawing>
        <wp:inline distB="114300" distT="114300" distL="114300" distR="114300">
          <wp:extent cx="1709738" cy="484082"/>
          <wp:effectExtent b="0" l="0" r="0" t="0"/>
          <wp:docPr id="83846696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9738" cy="4840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spacing w:after="0" w:line="276" w:lineRule="auto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I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2343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2343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343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2343F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2343F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2343F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2343F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2343F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2343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2343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2343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2343F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2343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2343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2343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2343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2343F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2343F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2343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2343F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2343F"/>
    <w:rPr>
      <w:b w:val="1"/>
      <w:bCs w:val="1"/>
      <w:smallCaps w:val="1"/>
      <w:color w:val="2f5496" w:themeColor="accent1" w:themeShade="0000BF"/>
      <w:spacing w:val="5"/>
    </w:rPr>
  </w:style>
  <w:style w:type="character" w:styleId="Hyperlink">
    <w:name w:val="Hyperlink"/>
    <w:basedOn w:val="DefaultParagraphFont"/>
    <w:uiPriority w:val="99"/>
    <w:semiHidden w:val="1"/>
    <w:unhideWhenUsed w:val="1"/>
    <w:rsid w:val="00226B1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26B1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184EC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84EC7"/>
  </w:style>
  <w:style w:type="paragraph" w:styleId="Footer">
    <w:name w:val="footer"/>
    <w:basedOn w:val="Normal"/>
    <w:link w:val="FooterChar"/>
    <w:uiPriority w:val="99"/>
    <w:unhideWhenUsed w:val="1"/>
    <w:rsid w:val="00184EC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84EC7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theatregreenbook.com/productionscalculator/" TargetMode="External"/><Relationship Id="rId12" Type="http://schemas.openxmlformats.org/officeDocument/2006/relationships/footer" Target="footer1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spreadsheets/d/1963ZNsPDmC7usBbec7-sEKsV57siMvbz/edit?gid=1582663651#gid=1582663651" TargetMode="External"/><Relationship Id="rId8" Type="http://schemas.openxmlformats.org/officeDocument/2006/relationships/image" Target="media/image5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WalterTurncoat-regular.ttf"/><Relationship Id="rId2" Type="http://schemas.openxmlformats.org/officeDocument/2006/relationships/font" Target="fonts/Barrio-regular.ttf"/><Relationship Id="rId3" Type="http://schemas.openxmlformats.org/officeDocument/2006/relationships/font" Target="fonts/Itim-regular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LZq3o14uaQU+6YjtsLYL+yD0g==">CgMxLjA4AHIhMThQTDJsb0RhSGZrZUtxUVZkWGl3V205dFRIOTZfbXY2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2026-08-20T12:14:00Z</dcterms:created>
  <dc:creator>Seamus Quinn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0abd1d3a-e01c-43d8-8c26-a3522e75938f</vt:lpwstr>
  </property>
</Properties>
</file>